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C6936" w:rsidRPr="00164D21" w:rsidRDefault="006C6936" w:rsidP="006C6936">
      <w:pPr>
        <w:jc w:val="center"/>
      </w:pPr>
      <w:r>
        <w:t>Mobility in Health Care</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6C6936" w:rsidRPr="00164D21" w:rsidRDefault="006C6936" w:rsidP="006C6936">
      <w:pPr>
        <w:jc w:val="center"/>
      </w:pPr>
      <w:r>
        <w:lastRenderedPageBreak/>
        <w:t>Mobility in Health Care</w:t>
      </w:r>
    </w:p>
    <w:p w:rsidR="006C6936" w:rsidRPr="00A53DFF" w:rsidRDefault="006C6936" w:rsidP="00326E2A">
      <w:pPr>
        <w:jc w:val="center"/>
        <w:rPr>
          <w:b/>
        </w:rPr>
      </w:pPr>
      <w:r w:rsidRPr="00A53DFF">
        <w:rPr>
          <w:b/>
        </w:rPr>
        <w:t>Q</w:t>
      </w:r>
      <w:r w:rsidR="00326E2A" w:rsidRPr="00A53DFF">
        <w:rPr>
          <w:b/>
        </w:rPr>
        <w:t>uestion</w:t>
      </w:r>
      <w:r w:rsidRPr="00A53DFF">
        <w:rPr>
          <w:b/>
        </w:rPr>
        <w:t xml:space="preserve"> 1</w:t>
      </w:r>
    </w:p>
    <w:p w:rsidR="00745FAF" w:rsidRDefault="00745FAF" w:rsidP="00745FAF">
      <w:pPr>
        <w:ind w:firstLine="720"/>
      </w:pPr>
      <w:r>
        <w:t xml:space="preserve">Transformative technologies are slowly shaping the modern world with new and improved technologies coming up every day. These advancements have been experienced in the healthcare industry with Healthcare personnel shifting from traditional desktop computers to mobile phones and tablets and this has had a significant impact on patient engagement (Smithwick, 2019). </w:t>
      </w:r>
    </w:p>
    <w:p w:rsidR="00745FAF" w:rsidRDefault="00A12056" w:rsidP="00745FAF">
      <w:pPr>
        <w:ind w:firstLine="720"/>
      </w:pPr>
      <w:r>
        <w:t>First</w:t>
      </w:r>
      <w:r w:rsidR="00745FAF">
        <w:t>, the use of mobile devices makes information instantly accessible to many people. Patients and clinicians are able to exchange information both ways in real time. This has helped in bringing down the barriers of communication and building trust bet</w:t>
      </w:r>
      <w:r>
        <w:t>ween them</w:t>
      </w:r>
      <w:r w:rsidR="00745FAF">
        <w:t>. Secondly, through mobile devices, healthcare organizations are able to share information with patients in small, easily understandable proportions and regularly based on the phases of the patient's health conditions.</w:t>
      </w:r>
      <w:r>
        <w:t xml:space="preserve"> This ensures continuous </w:t>
      </w:r>
      <w:r w:rsidR="00745FAF">
        <w:t xml:space="preserve">communication between the patient and the clinician. </w:t>
      </w:r>
    </w:p>
    <w:p w:rsidR="00745FAF" w:rsidRDefault="00745FAF" w:rsidP="00745FAF">
      <w:pPr>
        <w:ind w:firstLine="720"/>
      </w:pPr>
      <w:r>
        <w:t>Unlike while using the traditional desktop computers where the physician had to move from the consultation room to where the desktop computer was located to key in the p</w:t>
      </w:r>
      <w:r w:rsidR="00A12056">
        <w:t>atient's information and</w:t>
      </w:r>
      <w:r>
        <w:t xml:space="preserve"> access more information, the use of mob</w:t>
      </w:r>
      <w:r w:rsidR="00A12056">
        <w:t>ile devices eliminates</w:t>
      </w:r>
      <w:r>
        <w:t xml:space="preserve"> this. </w:t>
      </w:r>
      <w:r w:rsidR="00A12056">
        <w:t xml:space="preserve">Mobile devices allow </w:t>
      </w:r>
      <w:r>
        <w:t xml:space="preserve">the physician </w:t>
      </w:r>
      <w:r w:rsidR="00A12056">
        <w:t>to</w:t>
      </w:r>
      <w:r>
        <w:t xml:space="preserve"> comfortably key in the patient's information anywhere and at</w:t>
      </w:r>
      <w:r w:rsidR="00A12056">
        <w:t xml:space="preserve"> any time. This has reduced time </w:t>
      </w:r>
      <w:r>
        <w:t>wastage and also increased service delivery by ensuring correct a</w:t>
      </w:r>
      <w:r w:rsidR="00A12056">
        <w:t>nd accurate information is</w:t>
      </w:r>
      <w:r>
        <w:t xml:space="preserve"> recorded (Laurance et al., 2014). The use of mobile devices has also aided in remote consultation. The patient does not have to be in the same room with the clinician for consultation. The clinician can also check up on the condition of the patient from miles away, and this is a critical milestone in the medical arena.</w:t>
      </w:r>
    </w:p>
    <w:p w:rsidR="007B24E9" w:rsidRDefault="007B24E9" w:rsidP="00745FAF">
      <w:pPr>
        <w:ind w:firstLine="720"/>
        <w:jc w:val="center"/>
        <w:rPr>
          <w:b/>
        </w:rPr>
      </w:pPr>
    </w:p>
    <w:p w:rsidR="00745FAF" w:rsidRPr="00745FAF" w:rsidRDefault="00745FAF" w:rsidP="00745FAF">
      <w:pPr>
        <w:ind w:firstLine="720"/>
        <w:jc w:val="center"/>
        <w:rPr>
          <w:b/>
        </w:rPr>
      </w:pPr>
      <w:r w:rsidRPr="00745FAF">
        <w:rPr>
          <w:b/>
        </w:rPr>
        <w:lastRenderedPageBreak/>
        <w:t>Question 2</w:t>
      </w:r>
    </w:p>
    <w:p w:rsidR="00745FAF" w:rsidRDefault="00745FAF" w:rsidP="00745FAF">
      <w:pPr>
        <w:ind w:firstLine="720"/>
      </w:pPr>
      <w:r>
        <w:t xml:space="preserve">The mobile lifestyle has had a hugely positive reception in the healthcare </w:t>
      </w:r>
      <w:r w:rsidR="00F64868">
        <w:t xml:space="preserve">industry </w:t>
      </w:r>
      <w:r>
        <w:t xml:space="preserve">due to its limitless potential to transform the industry. Adoption of the mobile lifestyle has been greatly attributed to the achievement of several milestones in the industry (Smithwick, 2019). The first is that through the </w:t>
      </w:r>
      <w:r w:rsidR="00F64868">
        <w:t>mobile lifestyle, clinicians have been</w:t>
      </w:r>
      <w:r>
        <w:t xml:space="preserve"> able</w:t>
      </w:r>
      <w:r w:rsidR="00F64868">
        <w:t xml:space="preserve"> educate the patients by</w:t>
      </w:r>
      <w:r>
        <w:t xml:space="preserve"> pass</w:t>
      </w:r>
      <w:r w:rsidR="00F64868">
        <w:t>ing</w:t>
      </w:r>
      <w:r>
        <w:t xml:space="preserve"> useful medical information to the</w:t>
      </w:r>
      <w:r w:rsidR="00F64868">
        <w:t>m</w:t>
      </w:r>
      <w:r>
        <w:t>. Th</w:t>
      </w:r>
      <w:r w:rsidR="00F64868">
        <w:t>is</w:t>
      </w:r>
      <w:r>
        <w:t xml:space="preserve"> education function </w:t>
      </w:r>
      <w:r w:rsidR="00F64868">
        <w:t>can be viewed two ways, the first one being</w:t>
      </w:r>
      <w:r>
        <w:t xml:space="preserve"> that</w:t>
      </w:r>
      <w:r w:rsidR="00F64868">
        <w:t xml:space="preserve"> in</w:t>
      </w:r>
      <w:r>
        <w:t xml:space="preserve"> as much as the patients get valuable information from the </w:t>
      </w:r>
      <w:r w:rsidR="007B24E9">
        <w:t>clinicians. T</w:t>
      </w:r>
      <w:r>
        <w:t xml:space="preserve">he clinicians also have access to </w:t>
      </w:r>
      <w:r w:rsidR="00F64868">
        <w:t xml:space="preserve">online </w:t>
      </w:r>
      <w:r>
        <w:t>information such as the emerging new ways of treatment</w:t>
      </w:r>
      <w:r w:rsidR="00F64868">
        <w:t xml:space="preserve"> among other trends</w:t>
      </w:r>
      <w:r>
        <w:t xml:space="preserve">. Therefore, </w:t>
      </w:r>
      <w:r w:rsidR="00F64868">
        <w:t xml:space="preserve">through the use of these </w:t>
      </w:r>
      <w:r>
        <w:t xml:space="preserve">mobile devices, both the patients and the clinicians </w:t>
      </w:r>
      <w:r w:rsidR="00F64868">
        <w:t>benefit from exposure to</w:t>
      </w:r>
      <w:r>
        <w:t xml:space="preserve"> limitless useful information. </w:t>
      </w:r>
    </w:p>
    <w:p w:rsidR="00745FAF" w:rsidRDefault="00745FAF" w:rsidP="00745FAF">
      <w:pPr>
        <w:ind w:firstLine="720"/>
      </w:pPr>
      <w:r>
        <w:t xml:space="preserve">Secondly, it has been established that the ultimate role of patient engagement is basically patient empowerment. By making medical information easily accessible to patients, they are equipped with limitless knowledge. This </w:t>
      </w:r>
      <w:r w:rsidR="00F64868">
        <w:t>gives them the ability</w:t>
      </w:r>
      <w:r>
        <w:t xml:space="preserve"> to make informed decisions concerning their health conditions and where they can get access to the most effective treatments (McCormack et al., 2017). </w:t>
      </w:r>
      <w:r w:rsidR="00F64868">
        <w:t>Therefore, e</w:t>
      </w:r>
      <w:r>
        <w:t>mpowering patients with</w:t>
      </w:r>
      <w:r w:rsidR="00F64868">
        <w:t xml:space="preserve"> such crucial</w:t>
      </w:r>
      <w:r>
        <w:t xml:space="preserve"> knowledge goes a long way in encouraging them to be actively </w:t>
      </w:r>
      <w:r w:rsidR="00E70D00">
        <w:t>involved</w:t>
      </w:r>
      <w:r>
        <w:t xml:space="preserve"> in their own health</w:t>
      </w:r>
      <w:r w:rsidR="00E70D00">
        <w:t xml:space="preserve"> matters. The mobile lifestyle ha</w:t>
      </w:r>
      <w:r>
        <w:t xml:space="preserve">s also </w:t>
      </w:r>
      <w:r w:rsidR="00E70D00">
        <w:t xml:space="preserve">been </w:t>
      </w:r>
      <w:r w:rsidR="00CD1BB5">
        <w:t xml:space="preserve">linked </w:t>
      </w:r>
      <w:r>
        <w:t xml:space="preserve">to cultivating the notion of </w:t>
      </w:r>
      <w:r w:rsidR="00CD1BB5">
        <w:t xml:space="preserve">health </w:t>
      </w:r>
      <w:r>
        <w:t>care anytime and anywhere. This mentality has further encouraged individuals to carry out related medical interactions online, therefore, overcoming the limitations of geographi</w:t>
      </w:r>
      <w:r w:rsidR="007B24E9">
        <w:t>cal locations and communication which is a great milestone in patients’ empowerment.</w:t>
      </w:r>
    </w:p>
    <w:p w:rsidR="00745FAF" w:rsidRPr="00745FAF" w:rsidRDefault="00745FAF" w:rsidP="00745FAF">
      <w:pPr>
        <w:ind w:firstLine="720"/>
        <w:jc w:val="center"/>
        <w:rPr>
          <w:b/>
        </w:rPr>
      </w:pPr>
      <w:r w:rsidRPr="00745FAF">
        <w:rPr>
          <w:b/>
        </w:rPr>
        <w:t>Question 3</w:t>
      </w:r>
    </w:p>
    <w:p w:rsidR="00745FAF" w:rsidRDefault="00745FAF" w:rsidP="00745FAF">
      <w:pPr>
        <w:ind w:firstLine="720"/>
      </w:pPr>
      <w:r>
        <w:t xml:space="preserve">According to Morris &amp; Bailey (2014), quality measurement is the process of evaluating the performance of health care providers based on set recognized quality standards. These standards measure a different aspect of the healthcare providers such as </w:t>
      </w:r>
      <w:r>
        <w:lastRenderedPageBreak/>
        <w:t>availability of resources and facilities. However, this can be an unfair means of comparing different healthcare providers since they operate on different capacities. Also, each of these measurements takes into consideration only one aspect of the whole spectrum. For instance, the structure measure which assesses characteristic setting and facilities of healthcare providers fails to capture the occurrence of performance functions and whether they actually improve patient health or not.</w:t>
      </w:r>
    </w:p>
    <w:p w:rsidR="00745FAF" w:rsidRDefault="00745FAF" w:rsidP="00745FAF">
      <w:pPr>
        <w:ind w:firstLine="720"/>
      </w:pPr>
      <w:r>
        <w:t>As a basis for determining the performance of any healthcare institution, demographics, and location act as vital factors. Demographics, concerned with the group of individuals who receive medical services from certain facilities, affect the outcome measures. Outcome measures look at the effects on an individual of the medical treatment performed on them. These measures are affected by demographic factors like a way of life and their staple foods and environments (McFarland et al., 2015). Location is another very vital factor which affects Patient Experience Measure, for instance, which measure, among other things, accessibility to information and how fast patients can consult clinicians. In remote areas, for instance, where healthcare facilities are located far from the population, it may take more time to get medical assistance. It will also take more time for people located far from healthcare facilities to get access to medical information and for the clinicians to check up on them.</w:t>
      </w:r>
    </w:p>
    <w:p w:rsidR="00745FAF" w:rsidRPr="00745FAF" w:rsidRDefault="00745FAF" w:rsidP="00745FAF">
      <w:pPr>
        <w:ind w:firstLine="720"/>
        <w:jc w:val="center"/>
        <w:rPr>
          <w:b/>
        </w:rPr>
      </w:pPr>
      <w:r w:rsidRPr="00745FAF">
        <w:rPr>
          <w:b/>
        </w:rPr>
        <w:t>Question 4</w:t>
      </w:r>
    </w:p>
    <w:p w:rsidR="00745FAF" w:rsidRDefault="00745FAF" w:rsidP="00745FAF">
      <w:pPr>
        <w:ind w:firstLine="720"/>
      </w:pPr>
      <w:r>
        <w:t xml:space="preserve">Among the frameworks that I have come across, the Systems approach to healthcare delivery approach that was adopted in the USA to help in realizing the IOM Vision is the one that stands out. Based on the Systems design, the U.S health care system adopted a Framework that consisted of a four-level model that sub-divided the system into four segments, in an attempt to create a patient-centered health system (Ferlie &amp;Shortell, 2001). </w:t>
      </w:r>
      <w:r>
        <w:lastRenderedPageBreak/>
        <w:t>The segments highlighted in the Framework included the individual patient, the care team, the organization, and the political and economic environment. From this segmentation, it was possible to show how each of the segments could be manipulated and improved upon to ensure that they each had a positive impact on the general well-being of the patients. This could be achieved through achieving equilibrium between these four factors in the form of a well-coordinated syst</w:t>
      </w:r>
      <w:r w:rsidR="00A12056">
        <w:t>em that would achieve a patient-</w:t>
      </w:r>
      <w:r>
        <w:t>cen</w:t>
      </w:r>
      <w:bookmarkStart w:id="0" w:name="_GoBack"/>
      <w:bookmarkEnd w:id="0"/>
      <w:r>
        <w:t>tered healthcare system.</w:t>
      </w:r>
    </w:p>
    <w:p w:rsidR="00DB41D5" w:rsidRDefault="00745FAF" w:rsidP="00A12056">
      <w:pPr>
        <w:ind w:firstLine="720"/>
      </w:pPr>
      <w:r>
        <w:t xml:space="preserve"> The relevance of any Frameworks is that they are important sources of predetermined information concerning policies and procedures that need to be undertaken to achieve the outlined goals. However, since frameworks are generated during the planning stage and they outline the steps to be taken in the future if it takes too long to implement procedure laid out in the frameworks, they may become outdated, or the different segments outlined that are meant to work together. Arguably, a system may grow too far apart, therefore, making it impossible for them to perform as expected (Bastian et al., 2016).</w:t>
      </w:r>
    </w:p>
    <w:p w:rsidR="00DB41D5" w:rsidRDefault="00DB41D5" w:rsidP="006C6936">
      <w:pPr>
        <w:ind w:firstLine="720"/>
      </w:pPr>
    </w:p>
    <w:p w:rsidR="00DB41D5" w:rsidRDefault="00DB41D5" w:rsidP="006C6936">
      <w:pPr>
        <w:ind w:firstLine="720"/>
      </w:pPr>
    </w:p>
    <w:p w:rsidR="00DB41D5" w:rsidRDefault="00DB41D5" w:rsidP="006C6936">
      <w:pPr>
        <w:ind w:firstLine="720"/>
      </w:pPr>
    </w:p>
    <w:p w:rsidR="00DB41D5" w:rsidRDefault="00DB41D5" w:rsidP="006C6936">
      <w:pPr>
        <w:ind w:firstLine="720"/>
      </w:pPr>
    </w:p>
    <w:p w:rsidR="00DB41D5" w:rsidRDefault="00DB41D5" w:rsidP="006C6936">
      <w:pPr>
        <w:ind w:firstLine="720"/>
      </w:pPr>
    </w:p>
    <w:p w:rsidR="00DB41D5" w:rsidRDefault="00DB41D5" w:rsidP="006C6936">
      <w:pPr>
        <w:ind w:firstLine="720"/>
      </w:pPr>
    </w:p>
    <w:p w:rsidR="00DB41D5" w:rsidRDefault="00DB41D5" w:rsidP="006C6936">
      <w:pPr>
        <w:ind w:firstLine="720"/>
      </w:pPr>
    </w:p>
    <w:p w:rsidR="00745FAF" w:rsidRDefault="00745FAF" w:rsidP="00326E2A"/>
    <w:p w:rsidR="00A12056" w:rsidRDefault="00A12056" w:rsidP="00326E2A"/>
    <w:p w:rsidR="006C6936" w:rsidRDefault="006C6936" w:rsidP="006C6936">
      <w:pPr>
        <w:jc w:val="center"/>
      </w:pPr>
      <w:r>
        <w:lastRenderedPageBreak/>
        <w:t>References</w:t>
      </w:r>
    </w:p>
    <w:p w:rsidR="006C6936" w:rsidRPr="00960D02" w:rsidRDefault="006C6936" w:rsidP="006C6936">
      <w:pPr>
        <w:ind w:left="720" w:hanging="720"/>
        <w:rPr>
          <w:rFonts w:eastAsia="Times New Roman"/>
          <w:color w:val="222222"/>
          <w:shd w:val="clear" w:color="auto" w:fill="FFFFFF"/>
        </w:rPr>
      </w:pPr>
      <w:r w:rsidRPr="00960D02">
        <w:rPr>
          <w:rFonts w:eastAsia="Times New Roman"/>
          <w:color w:val="222222"/>
          <w:shd w:val="clear" w:color="auto" w:fill="FFFFFF"/>
        </w:rPr>
        <w:t>Bastian, N. D., Munoz, D., &amp; Ventura, M. (2016). A mixed-methods research framework for healthcare process improvement. </w:t>
      </w:r>
      <w:r w:rsidRPr="00960D02">
        <w:rPr>
          <w:rFonts w:eastAsia="Times New Roman"/>
          <w:i/>
          <w:iCs/>
          <w:color w:val="222222"/>
          <w:shd w:val="clear" w:color="auto" w:fill="FFFFFF"/>
        </w:rPr>
        <w:t>Journal of pediatric nursing</w:t>
      </w:r>
      <w:r w:rsidRPr="00960D02">
        <w:rPr>
          <w:rFonts w:eastAsia="Times New Roman"/>
          <w:color w:val="222222"/>
          <w:shd w:val="clear" w:color="auto" w:fill="FFFFFF"/>
        </w:rPr>
        <w:t>, </w:t>
      </w:r>
      <w:r w:rsidRPr="00960D02">
        <w:rPr>
          <w:rFonts w:eastAsia="Times New Roman"/>
          <w:i/>
          <w:iCs/>
          <w:color w:val="222222"/>
          <w:shd w:val="clear" w:color="auto" w:fill="FFFFFF"/>
        </w:rPr>
        <w:t>31</w:t>
      </w:r>
      <w:r w:rsidRPr="00960D02">
        <w:rPr>
          <w:rFonts w:eastAsia="Times New Roman"/>
          <w:color w:val="222222"/>
          <w:shd w:val="clear" w:color="auto" w:fill="FFFFFF"/>
        </w:rPr>
        <w:t>(1), e39-e51.</w:t>
      </w:r>
    </w:p>
    <w:p w:rsidR="006C6936" w:rsidRPr="00960D02" w:rsidRDefault="006C6936" w:rsidP="006C6936">
      <w:pPr>
        <w:ind w:left="720" w:hanging="720"/>
        <w:rPr>
          <w:rFonts w:eastAsia="Times New Roman"/>
          <w:color w:val="222222"/>
          <w:shd w:val="clear" w:color="auto" w:fill="FFFFFF"/>
        </w:rPr>
      </w:pPr>
      <w:r w:rsidRPr="00960D02">
        <w:rPr>
          <w:rFonts w:eastAsia="Times New Roman"/>
          <w:color w:val="222222"/>
          <w:shd w:val="clear" w:color="auto" w:fill="FFFFFF"/>
        </w:rPr>
        <w:t>Ferlie, E. B., &amp;Shortell, S. M. (2001). Improving the quality of health care in the United Kingdom and the United States: a framework for change. </w:t>
      </w:r>
      <w:r w:rsidRPr="00960D02">
        <w:rPr>
          <w:rFonts w:eastAsia="Times New Roman"/>
          <w:i/>
          <w:iCs/>
          <w:color w:val="222222"/>
          <w:shd w:val="clear" w:color="auto" w:fill="FFFFFF"/>
        </w:rPr>
        <w:t>The Milbank Quarterly</w:t>
      </w:r>
      <w:r w:rsidRPr="00960D02">
        <w:rPr>
          <w:rFonts w:eastAsia="Times New Roman"/>
          <w:color w:val="222222"/>
          <w:shd w:val="clear" w:color="auto" w:fill="FFFFFF"/>
        </w:rPr>
        <w:t>, </w:t>
      </w:r>
      <w:r w:rsidRPr="00960D02">
        <w:rPr>
          <w:rFonts w:eastAsia="Times New Roman"/>
          <w:i/>
          <w:iCs/>
          <w:color w:val="222222"/>
          <w:shd w:val="clear" w:color="auto" w:fill="FFFFFF"/>
        </w:rPr>
        <w:t>79</w:t>
      </w:r>
      <w:r w:rsidRPr="00960D02">
        <w:rPr>
          <w:rFonts w:eastAsia="Times New Roman"/>
          <w:color w:val="222222"/>
          <w:shd w:val="clear" w:color="auto" w:fill="FFFFFF"/>
        </w:rPr>
        <w:t>(2), 281-315.</w:t>
      </w:r>
    </w:p>
    <w:p w:rsidR="006C6936" w:rsidRPr="00960D02" w:rsidRDefault="006C6936" w:rsidP="006C6936">
      <w:pPr>
        <w:ind w:left="720" w:hanging="720"/>
        <w:rPr>
          <w:rFonts w:eastAsia="Times New Roman"/>
          <w:color w:val="000000"/>
          <w:shd w:val="clear" w:color="auto" w:fill="FFFFFF"/>
        </w:rPr>
      </w:pPr>
      <w:r w:rsidRPr="00960D02">
        <w:rPr>
          <w:rFonts w:eastAsia="Times New Roman"/>
          <w:color w:val="000000"/>
          <w:shd w:val="clear" w:color="auto" w:fill="FFFFFF"/>
        </w:rPr>
        <w:t xml:space="preserve">John Smithwick, R. (2019). 5 ways mobile is moving mountains in patient engagement: From EMRs to wearables, transformative technologies are reshaping the way healthcare is delivered today. Retrieved from </w:t>
      </w:r>
      <w:hyperlink r:id="rId7" w:history="1">
        <w:r w:rsidRPr="00960D02">
          <w:rPr>
            <w:rStyle w:val="Hyperlink"/>
            <w:rFonts w:eastAsia="Times New Roman"/>
            <w:shd w:val="clear" w:color="auto" w:fill="FFFFFF"/>
          </w:rPr>
          <w:t>https://www.beckershospitalreview.com/healthcare-information-technology/5-ways-mobile-is-moving-mountains-in-patient-engagement.html</w:t>
        </w:r>
      </w:hyperlink>
    </w:p>
    <w:p w:rsidR="006C6936" w:rsidRPr="00960D02" w:rsidRDefault="006C6936" w:rsidP="006C6936">
      <w:pPr>
        <w:ind w:left="720" w:hanging="720"/>
        <w:rPr>
          <w:rFonts w:eastAsia="Times New Roman"/>
          <w:color w:val="222222"/>
          <w:shd w:val="clear" w:color="auto" w:fill="FFFFFF"/>
        </w:rPr>
      </w:pPr>
      <w:r w:rsidRPr="00960D02">
        <w:rPr>
          <w:rFonts w:eastAsia="Times New Roman"/>
          <w:color w:val="222222"/>
          <w:shd w:val="clear" w:color="auto" w:fill="FFFFFF"/>
        </w:rPr>
        <w:t>Laurance, J., Henderson, S., Howitt, P. J., Matar, M., Al Kuwari, H., Edgman-Levitan, S., &amp;Darzi, A. (2014). Patient engagement: four case studies that highlight the potential for improved health outcomes and reduced costs. </w:t>
      </w:r>
      <w:r w:rsidRPr="00960D02">
        <w:rPr>
          <w:rFonts w:eastAsia="Times New Roman"/>
          <w:i/>
          <w:iCs/>
          <w:color w:val="222222"/>
          <w:shd w:val="clear" w:color="auto" w:fill="FFFFFF"/>
        </w:rPr>
        <w:t>Health Affairs</w:t>
      </w:r>
      <w:r w:rsidRPr="00960D02">
        <w:rPr>
          <w:rFonts w:eastAsia="Times New Roman"/>
          <w:color w:val="222222"/>
          <w:shd w:val="clear" w:color="auto" w:fill="FFFFFF"/>
        </w:rPr>
        <w:t>, </w:t>
      </w:r>
      <w:r w:rsidRPr="00960D02">
        <w:rPr>
          <w:rFonts w:eastAsia="Times New Roman"/>
          <w:i/>
          <w:iCs/>
          <w:color w:val="222222"/>
          <w:shd w:val="clear" w:color="auto" w:fill="FFFFFF"/>
        </w:rPr>
        <w:t>33</w:t>
      </w:r>
      <w:r w:rsidRPr="00960D02">
        <w:rPr>
          <w:rFonts w:eastAsia="Times New Roman"/>
          <w:color w:val="222222"/>
          <w:shd w:val="clear" w:color="auto" w:fill="FFFFFF"/>
        </w:rPr>
        <w:t>(9), 1627-1634.</w:t>
      </w:r>
    </w:p>
    <w:p w:rsidR="006C6936" w:rsidRPr="00960D02" w:rsidRDefault="006C6936" w:rsidP="006C6936">
      <w:pPr>
        <w:ind w:left="720" w:hanging="720"/>
        <w:rPr>
          <w:rFonts w:eastAsia="Times New Roman"/>
          <w:color w:val="222222"/>
          <w:shd w:val="clear" w:color="auto" w:fill="FFFFFF"/>
        </w:rPr>
      </w:pPr>
      <w:r w:rsidRPr="00960D02">
        <w:rPr>
          <w:rFonts w:eastAsia="Times New Roman"/>
          <w:color w:val="222222"/>
          <w:shd w:val="clear" w:color="auto" w:fill="FFFFFF"/>
        </w:rPr>
        <w:t>McCormack, L., Thomas, V., Lewis, M. A., &amp; Rudd, R. (2017). Improving low health literacy and patient engagement: a social ecological approach. </w:t>
      </w:r>
      <w:r w:rsidRPr="00960D02">
        <w:rPr>
          <w:rFonts w:eastAsia="Times New Roman"/>
          <w:i/>
          <w:iCs/>
          <w:color w:val="222222"/>
          <w:shd w:val="clear" w:color="auto" w:fill="FFFFFF"/>
        </w:rPr>
        <w:t>Patient education and counseling</w:t>
      </w:r>
      <w:r w:rsidRPr="00960D02">
        <w:rPr>
          <w:rFonts w:eastAsia="Times New Roman"/>
          <w:color w:val="222222"/>
          <w:shd w:val="clear" w:color="auto" w:fill="FFFFFF"/>
        </w:rPr>
        <w:t>, </w:t>
      </w:r>
      <w:r w:rsidRPr="00960D02">
        <w:rPr>
          <w:rFonts w:eastAsia="Times New Roman"/>
          <w:i/>
          <w:iCs/>
          <w:color w:val="222222"/>
          <w:shd w:val="clear" w:color="auto" w:fill="FFFFFF"/>
        </w:rPr>
        <w:t>100</w:t>
      </w:r>
      <w:r w:rsidRPr="00960D02">
        <w:rPr>
          <w:rFonts w:eastAsia="Times New Roman"/>
          <w:color w:val="222222"/>
          <w:shd w:val="clear" w:color="auto" w:fill="FFFFFF"/>
        </w:rPr>
        <w:t>(1), 8-13.</w:t>
      </w:r>
    </w:p>
    <w:p w:rsidR="006C6936" w:rsidRPr="00960D02" w:rsidRDefault="006C6936" w:rsidP="006C6936">
      <w:pPr>
        <w:ind w:left="720" w:hanging="720"/>
        <w:rPr>
          <w:rFonts w:eastAsia="Times New Roman"/>
          <w:color w:val="222222"/>
          <w:shd w:val="clear" w:color="auto" w:fill="FFFFFF"/>
        </w:rPr>
      </w:pPr>
      <w:r w:rsidRPr="00960D02">
        <w:rPr>
          <w:rFonts w:eastAsia="Times New Roman"/>
          <w:color w:val="222222"/>
          <w:shd w:val="clear" w:color="auto" w:fill="FFFFFF"/>
        </w:rPr>
        <w:t>McFarland, D. C., Ornstein, K. A., &amp; Holcombe, R. F. (2015). Demographic factors and hospital size predict patient satisfaction variance—implications for hospital value</w:t>
      </w:r>
      <w:r w:rsidRPr="00960D02">
        <w:rPr>
          <w:rFonts w:ascii="Cambria Math" w:eastAsia="Times New Roman" w:hAnsi="Cambria Math" w:cs="Cambria Math"/>
          <w:color w:val="222222"/>
          <w:shd w:val="clear" w:color="auto" w:fill="FFFFFF"/>
        </w:rPr>
        <w:t>‐</w:t>
      </w:r>
      <w:r w:rsidRPr="00960D02">
        <w:rPr>
          <w:rFonts w:eastAsia="Times New Roman"/>
          <w:color w:val="222222"/>
          <w:shd w:val="clear" w:color="auto" w:fill="FFFFFF"/>
        </w:rPr>
        <w:t>based purchasing. </w:t>
      </w:r>
      <w:r w:rsidRPr="00960D02">
        <w:rPr>
          <w:rFonts w:eastAsia="Times New Roman"/>
          <w:i/>
          <w:iCs/>
          <w:color w:val="222222"/>
          <w:shd w:val="clear" w:color="auto" w:fill="FFFFFF"/>
        </w:rPr>
        <w:t>Journal of hospital medicine</w:t>
      </w:r>
      <w:r w:rsidRPr="00960D02">
        <w:rPr>
          <w:rFonts w:eastAsia="Times New Roman"/>
          <w:color w:val="222222"/>
          <w:shd w:val="clear" w:color="auto" w:fill="FFFFFF"/>
        </w:rPr>
        <w:t>, </w:t>
      </w:r>
      <w:r w:rsidRPr="00960D02">
        <w:rPr>
          <w:rFonts w:eastAsia="Times New Roman"/>
          <w:i/>
          <w:iCs/>
          <w:color w:val="222222"/>
          <w:shd w:val="clear" w:color="auto" w:fill="FFFFFF"/>
        </w:rPr>
        <w:t>10</w:t>
      </w:r>
      <w:r w:rsidRPr="00960D02">
        <w:rPr>
          <w:rFonts w:eastAsia="Times New Roman"/>
          <w:color w:val="222222"/>
          <w:shd w:val="clear" w:color="auto" w:fill="FFFFFF"/>
        </w:rPr>
        <w:t>(8), 503-509.</w:t>
      </w:r>
    </w:p>
    <w:p w:rsidR="00B20C0E" w:rsidRPr="00DB41D5" w:rsidRDefault="006C6936" w:rsidP="00DB41D5">
      <w:pPr>
        <w:ind w:left="720" w:hanging="720"/>
        <w:rPr>
          <w:i/>
        </w:rPr>
      </w:pPr>
      <w:r w:rsidRPr="00960D02">
        <w:rPr>
          <w:rFonts w:eastAsia="Times New Roman"/>
          <w:color w:val="000000"/>
          <w:shd w:val="clear" w:color="auto" w:fill="FFFFFF"/>
        </w:rPr>
        <w:t xml:space="preserve">Morris, C., &amp; Bailey, K. (2014). Measuring health care quality: an overview of quality measures. </w:t>
      </w:r>
      <w:r w:rsidRPr="00960D02">
        <w:rPr>
          <w:rFonts w:eastAsia="Times New Roman"/>
          <w:i/>
          <w:color w:val="000000"/>
          <w:shd w:val="clear" w:color="auto" w:fill="FFFFFF"/>
        </w:rPr>
        <w:t>Families USA issue brief May.</w:t>
      </w:r>
    </w:p>
    <w:sectPr w:rsidR="00B20C0E" w:rsidRPr="00DB41D5"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2246" w:rsidRDefault="00D62246">
      <w:pPr>
        <w:spacing w:after="0" w:line="240" w:lineRule="auto"/>
      </w:pPr>
      <w:r>
        <w:separator/>
      </w:r>
    </w:p>
  </w:endnote>
  <w:endnote w:type="continuationSeparator" w:id="1">
    <w:p w:rsidR="00D62246" w:rsidRDefault="00D622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2246" w:rsidRDefault="00D62246">
      <w:pPr>
        <w:spacing w:after="0" w:line="240" w:lineRule="auto"/>
      </w:pPr>
      <w:r>
        <w:separator/>
      </w:r>
    </w:p>
  </w:footnote>
  <w:footnote w:type="continuationSeparator" w:id="1">
    <w:p w:rsidR="00D62246" w:rsidRDefault="00D622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6C6936" w:rsidP="00B20C0E">
        <w:r>
          <w:t>MOBILITY IN HEALTH CARE</w:t>
        </w:r>
        <w:r>
          <w:tab/>
        </w:r>
        <w:r w:rsidR="00B20C0E">
          <w:tab/>
        </w:r>
        <w:r w:rsidR="00B20C0E">
          <w:tab/>
        </w:r>
        <w:r w:rsidR="00B20C0E">
          <w:tab/>
        </w:r>
        <w:r w:rsidR="00B20C0E">
          <w:tab/>
        </w:r>
        <w:r w:rsidR="0007681D">
          <w:tab/>
        </w:r>
        <w:r w:rsidR="0007681D">
          <w:tab/>
        </w:r>
        <w:r w:rsidR="004F430B">
          <w:tab/>
        </w:r>
        <w:r w:rsidR="007175C9">
          <w:fldChar w:fldCharType="begin"/>
        </w:r>
        <w:r w:rsidR="00532362">
          <w:instrText xml:space="preserve"> PAGE   \* MERGEFORMAT </w:instrText>
        </w:r>
        <w:r w:rsidR="007175C9">
          <w:fldChar w:fldCharType="separate"/>
        </w:r>
        <w:r w:rsidR="007B24E9">
          <w:rPr>
            <w:noProof/>
          </w:rPr>
          <w:t>5</w:t>
        </w:r>
        <w:r w:rsidR="007175C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6C6936">
    <w:r>
      <w:t>Running head:</w:t>
    </w:r>
    <w:r w:rsidR="007B24E9">
      <w:t xml:space="preserve"> </w:t>
    </w:r>
    <w:r w:rsidR="006C6936">
      <w:t>MOBILITY IN HEALTH CARE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4B3B"/>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D79CA"/>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26E2A"/>
    <w:rsid w:val="003302F4"/>
    <w:rsid w:val="0033153C"/>
    <w:rsid w:val="00332553"/>
    <w:rsid w:val="00334B48"/>
    <w:rsid w:val="00342CCC"/>
    <w:rsid w:val="0034322D"/>
    <w:rsid w:val="00350B5D"/>
    <w:rsid w:val="00357296"/>
    <w:rsid w:val="003600EC"/>
    <w:rsid w:val="00361D82"/>
    <w:rsid w:val="00366F3E"/>
    <w:rsid w:val="00373FC4"/>
    <w:rsid w:val="00374DF5"/>
    <w:rsid w:val="00380130"/>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936"/>
    <w:rsid w:val="006C6CC5"/>
    <w:rsid w:val="006D69FD"/>
    <w:rsid w:val="006E3678"/>
    <w:rsid w:val="006E5C4A"/>
    <w:rsid w:val="006E645A"/>
    <w:rsid w:val="006F2130"/>
    <w:rsid w:val="006F3DE0"/>
    <w:rsid w:val="006F53BC"/>
    <w:rsid w:val="006F6292"/>
    <w:rsid w:val="00700E24"/>
    <w:rsid w:val="0070396D"/>
    <w:rsid w:val="00711CFF"/>
    <w:rsid w:val="007175C9"/>
    <w:rsid w:val="00717640"/>
    <w:rsid w:val="00724DA7"/>
    <w:rsid w:val="00730636"/>
    <w:rsid w:val="00736BE3"/>
    <w:rsid w:val="00737AC5"/>
    <w:rsid w:val="00741BAF"/>
    <w:rsid w:val="007450AB"/>
    <w:rsid w:val="00745FAF"/>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24E9"/>
    <w:rsid w:val="007B3A7D"/>
    <w:rsid w:val="007B4FDA"/>
    <w:rsid w:val="007B5E9A"/>
    <w:rsid w:val="007C524A"/>
    <w:rsid w:val="007C5CB8"/>
    <w:rsid w:val="007C7485"/>
    <w:rsid w:val="007D0639"/>
    <w:rsid w:val="007D0FC2"/>
    <w:rsid w:val="007E67B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2056"/>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1E12"/>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D1BB5"/>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246"/>
    <w:rsid w:val="00D62ED5"/>
    <w:rsid w:val="00D665DD"/>
    <w:rsid w:val="00D72F84"/>
    <w:rsid w:val="00D74B8A"/>
    <w:rsid w:val="00D828E6"/>
    <w:rsid w:val="00D82B1A"/>
    <w:rsid w:val="00D8570C"/>
    <w:rsid w:val="00D93540"/>
    <w:rsid w:val="00D93B1E"/>
    <w:rsid w:val="00D96D49"/>
    <w:rsid w:val="00DA283F"/>
    <w:rsid w:val="00DB41D5"/>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0D00"/>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868"/>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eckershospitalreview.com/healthcare-information-technology/5-ways-mobile-is-moving-mountains-in-patient-engagemen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1277</Words>
  <Characters>7281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2019-06-03T13:39:00Z</dcterms:created>
  <dcterms:modified xsi:type="dcterms:W3CDTF">2019-06-03T13:39:00Z</dcterms:modified>
</cp:coreProperties>
</file>